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rsidR="0019454D" w:rsidRDefault="0019454D" w:rsidP="00915F2D">
      <w:pPr>
        <w:spacing w:after="360"/>
        <w:ind w:right="14"/>
        <w:jc w:val="center"/>
      </w:pPr>
      <w:r w:rsidRPr="0019454D">
        <w:rPr>
          <w:sz w:val="22"/>
        </w:rPr>
        <w:t xml:space="preserve">Ratified </w:t>
      </w:r>
      <w:r w:rsidR="00540DA1">
        <w:rPr>
          <w:sz w:val="22"/>
        </w:rPr>
        <w:t>TBD</w:t>
      </w:r>
      <w:r w:rsidRPr="0019454D">
        <w:rPr>
          <w:sz w:val="22"/>
        </w:rPr>
        <w:t>, 201</w:t>
      </w:r>
      <w:r w:rsidR="00FB3E99">
        <w:rPr>
          <w:sz w:val="22"/>
        </w:rPr>
        <w:t>6</w:t>
      </w:r>
      <w:bookmarkStart w:id="0" w:name="_GoBack"/>
      <w:bookmarkEnd w:id="0"/>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SAE Industry Technologies Consortia (SAE ITC)</w:t>
      </w:r>
      <w:r w:rsidRPr="00E650B7">
        <w:rPr>
          <w:rFonts w:ascii="Arial" w:hAnsi="Arial" w:cs="Arial"/>
          <w:sz w:val="22"/>
          <w:szCs w:val="22"/>
        </w:rPr>
        <w:t xml:space="preserve"> or its successors (hereinafter, “Parent Organization”).</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r w:rsidR="003D7BDE">
        <w:rPr>
          <w:rFonts w:ascii="Arial" w:hAnsi="Arial" w:cs="Arial"/>
          <w:sz w:val="22"/>
          <w:szCs w:val="22"/>
        </w:rPr>
        <w:t>representing</w:t>
      </w:r>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r w:rsidR="003D7BDE" w:rsidRPr="00E650B7">
        <w:rPr>
          <w:rFonts w:ascii="Arial" w:hAnsi="Arial" w:cs="Arial"/>
          <w:sz w:val="22"/>
          <w:szCs w:val="22"/>
        </w:rPr>
        <w:t xml:space="preserve"> </w:t>
      </w:r>
      <w:r w:rsidRPr="00E650B7">
        <w:rPr>
          <w:rFonts w:ascii="Arial" w:hAnsi="Arial" w:cs="Arial"/>
          <w:sz w:val="22"/>
          <w:szCs w:val="22"/>
        </w:rPr>
        <w:t xml:space="preserve">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terminate on June 1 or the first weekday following June 1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 (or the first weekday following) shall be charged one-half the annual membership dues for that year.</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rounded up to the nearest whole number.  </w:t>
      </w:r>
    </w:p>
    <w:p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r w:rsidR="003D7BDE">
        <w:rPr>
          <w:rFonts w:ascii="Arial" w:hAnsi="Arial" w:cs="Arial"/>
          <w:sz w:val="22"/>
          <w:szCs w:val="22"/>
        </w:rPr>
        <w:t>designated representatives of</w:t>
      </w:r>
      <w:r w:rsidRPr="00E650B7">
        <w:rPr>
          <w:rFonts w:ascii="Arial" w:hAnsi="Arial" w:cs="Arial"/>
          <w:sz w:val="22"/>
          <w:szCs w:val="22"/>
        </w:rPr>
        <w:t xml:space="preserve"> Member </w:t>
      </w:r>
      <w:r w:rsidR="00F6684E">
        <w:rPr>
          <w:rFonts w:ascii="Arial" w:hAnsi="Arial" w:cs="Arial"/>
          <w:sz w:val="22"/>
          <w:szCs w:val="22"/>
        </w:rPr>
        <w:t>Organizations</w:t>
      </w:r>
      <w:r w:rsidRPr="00E650B7">
        <w:rPr>
          <w:rFonts w:ascii="Arial" w:hAnsi="Arial" w:cs="Arial"/>
          <w:sz w:val="22"/>
          <w:szCs w:val="22"/>
        </w:rPr>
        <w:t xml:space="preserve"> may respond to votes. Only one response per Member </w:t>
      </w:r>
      <w:r w:rsidR="00F6684E">
        <w:rPr>
          <w:rFonts w:ascii="Arial" w:hAnsi="Arial" w:cs="Arial"/>
          <w:sz w:val="22"/>
          <w:szCs w:val="22"/>
        </w:rPr>
        <w:t>Organization</w:t>
      </w:r>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IBIS Committee Board.  The individual Board offices and their duties are listed below.</w:t>
      </w:r>
    </w:p>
    <w:p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lastRenderedPageBreak/>
        <w:t>Office</w:t>
      </w:r>
      <w:r w:rsidR="00E77C69">
        <w:rPr>
          <w:rFonts w:ascii="Arial" w:hAnsi="Arial" w:cs="Arial"/>
          <w:sz w:val="22"/>
          <w:szCs w:val="22"/>
        </w:rPr>
        <w:tab/>
      </w:r>
      <w:r w:rsidR="00E512DB"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w:t>
      </w:r>
      <w:r w:rsidR="003D7BDE">
        <w:rPr>
          <w:rFonts w:ascii="Arial" w:hAnsi="Arial" w:cs="Arial"/>
          <w:sz w:val="22"/>
          <w:szCs w:val="22"/>
        </w:rPr>
        <w:t xml:space="preserve"> representative </w:t>
      </w:r>
      <w:r w:rsidRPr="00E650B7">
        <w:rPr>
          <w:rFonts w:ascii="Arial" w:hAnsi="Arial" w:cs="Arial"/>
          <w:sz w:val="22"/>
          <w:szCs w:val="22"/>
        </w:rPr>
        <w:t xml:space="preserve">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 xml:space="preserve">.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Member </w:t>
      </w:r>
      <w:r w:rsidR="00F6684E">
        <w:rPr>
          <w:rFonts w:ascii="Arial" w:hAnsi="Arial" w:cs="Arial"/>
          <w:sz w:val="22"/>
          <w:szCs w:val="22"/>
        </w:rPr>
        <w:t>Organization</w:t>
      </w:r>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May 31 (or last weekday preceding) – nomination period ends</w:t>
      </w:r>
    </w:p>
    <w:p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Beginning of </w:t>
      </w:r>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June 14</w:t>
      </w:r>
      <w:r w:rsidR="00BE2846">
        <w:rPr>
          <w:rFonts w:ascii="Arial" w:hAnsi="Arial" w:cs="Arial"/>
        </w:rPr>
        <w:t>5</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shall nominate to the Returning Officer individuals for each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Member </w:t>
      </w:r>
      <w:r w:rsidR="00F6684E">
        <w:rPr>
          <w:rFonts w:ascii="Arial" w:hAnsi="Arial" w:cs="Arial"/>
          <w:sz w:val="22"/>
          <w:szCs w:val="22"/>
        </w:rPr>
        <w:t>Organization</w:t>
      </w:r>
      <w:r w:rsidRPr="00E650B7">
        <w:rPr>
          <w:rFonts w:ascii="Arial" w:hAnsi="Arial" w:cs="Arial"/>
          <w:sz w:val="22"/>
          <w:szCs w:val="22"/>
        </w:rPr>
        <w:t>.  Self-nominations are permitted.  A nomination is valid only with the consent of the nominated individual.</w:t>
      </w:r>
    </w:p>
    <w:p w:rsidR="00924DC0" w:rsidRPr="00E650B7" w:rsidRDefault="00857B6A" w:rsidP="00915F2D">
      <w:pPr>
        <w:pStyle w:val="PlainText"/>
        <w:spacing w:after="240"/>
        <w:rPr>
          <w:rFonts w:ascii="Arial" w:hAnsi="Arial" w:cs="Arial"/>
          <w:sz w:val="22"/>
          <w:szCs w:val="22"/>
        </w:rPr>
      </w:pPr>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No</w:t>
      </w:r>
      <w:r w:rsidR="00E512DB" w:rsidRPr="00E650B7">
        <w:rPr>
          <w:rFonts w:ascii="Arial" w:hAnsi="Arial" w:cs="Arial"/>
          <w:sz w:val="22"/>
          <w:szCs w:val="22"/>
        </w:rPr>
        <w:t xml:space="preserve"> earlier than 24 hours after, or the first weekday following, the closing </w:t>
      </w:r>
      <w:r w:rsidR="00A47DD5">
        <w:rPr>
          <w:rFonts w:ascii="Arial" w:hAnsi="Arial" w:cs="Arial"/>
          <w:sz w:val="22"/>
          <w:szCs w:val="22"/>
        </w:rPr>
        <w:t>time</w:t>
      </w:r>
      <w:r w:rsidR="00A47DD5" w:rsidRPr="00E650B7">
        <w:rPr>
          <w:rFonts w:ascii="Arial" w:hAnsi="Arial" w:cs="Arial"/>
          <w:sz w:val="22"/>
          <w:szCs w:val="22"/>
        </w:rPr>
        <w:t xml:space="preserve"> </w:t>
      </w:r>
      <w:r w:rsidR="00E512DB" w:rsidRPr="00E650B7">
        <w:rPr>
          <w:rFonts w:ascii="Arial" w:hAnsi="Arial" w:cs="Arial"/>
          <w:sz w:val="22"/>
          <w:szCs w:val="22"/>
        </w:rPr>
        <w:t xml:space="preserve">of the nomination period, the Returning Officer shall announce the individuals nominated for each </w:t>
      </w:r>
      <w:r w:rsidR="00D71086">
        <w:rPr>
          <w:rFonts w:ascii="Arial" w:hAnsi="Arial" w:cs="Arial"/>
          <w:sz w:val="22"/>
          <w:szCs w:val="22"/>
        </w:rPr>
        <w:t>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t>FINANCIAL PRACTICES</w:t>
      </w:r>
    </w:p>
    <w:p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rsidR="00924DC0" w:rsidRPr="00E650B7" w:rsidRDefault="00E512DB" w:rsidP="00915F2D">
      <w:pPr>
        <w:pStyle w:val="PlainText"/>
        <w:spacing w:after="240"/>
      </w:pPr>
      <w:r w:rsidRPr="00E650B7">
        <w:rPr>
          <w:rFonts w:ascii="Arial" w:hAnsi="Arial" w:cs="Arial"/>
          <w:sz w:val="22"/>
          <w:szCs w:val="22"/>
        </w:rPr>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FB3E99">
      <w:rPr>
        <w:noProof/>
      </w:rPr>
      <w:t>1</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B3E99"/>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4</cp:revision>
  <cp:lastPrinted>2014-08-22T20:27:00Z</cp:lastPrinted>
  <dcterms:created xsi:type="dcterms:W3CDTF">2016-03-17T15:28:00Z</dcterms:created>
  <dcterms:modified xsi:type="dcterms:W3CDTF">2016-03-18T12:51:00Z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