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03E7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354E5D3B" w14:textId="77777777" w:rsidR="00F33DBA" w:rsidRPr="00175664" w:rsidRDefault="005F6AFC" w:rsidP="0052795B">
      <w:pPr>
        <w:pStyle w:val="HTMLPreformatted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094836">
        <w:rPr>
          <w:rFonts w:ascii="Times New Roman" w:hAnsi="Times New Roman" w:cs="Times New Roman"/>
          <w:sz w:val="24"/>
          <w:szCs w:val="24"/>
        </w:rPr>
        <w:t>instructions starting on template page two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5B6FA3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40D67377" w14:textId="67505F3D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F70F8A">
        <w:rPr>
          <w:rFonts w:ascii="Times New Roman" w:hAnsi="Times New Roman" w:cs="Times New Roman"/>
          <w:sz w:val="24"/>
          <w:szCs w:val="24"/>
        </w:rPr>
        <w:t>227</w:t>
      </w:r>
    </w:p>
    <w:p w14:paraId="7E187F5B" w14:textId="23524B61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079A4">
        <w:rPr>
          <w:rFonts w:ascii="Times New Roman" w:hAnsi="Times New Roman" w:cs="Times New Roman"/>
          <w:sz w:val="24"/>
          <w:szCs w:val="24"/>
        </w:rPr>
        <w:t>AMI Ignore Block Feature</w:t>
      </w:r>
    </w:p>
    <w:p w14:paraId="0CDAD22E" w14:textId="5EB0341F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079A4">
        <w:rPr>
          <w:rFonts w:ascii="Times New Roman" w:hAnsi="Times New Roman" w:cs="Times New Roman"/>
          <w:sz w:val="24"/>
          <w:szCs w:val="24"/>
        </w:rPr>
        <w:t>Alaeddin A. Aydiner, Sai Zhou, Intel Corp.</w:t>
      </w:r>
    </w:p>
    <w:p w14:paraId="41BDD599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AB832D6" w14:textId="58BD34FB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98623A">
        <w:rPr>
          <w:rFonts w:ascii="Times New Roman" w:hAnsi="Times New Roman" w:cs="Times New Roman"/>
          <w:sz w:val="24"/>
          <w:szCs w:val="24"/>
        </w:rPr>
        <w:t>November 14, 2023</w:t>
      </w:r>
    </w:p>
    <w:p w14:paraId="778316ED" w14:textId="5DB86B9F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B138478" w14:textId="5609DCFF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CF0926" w:rsidRPr="00CF0926">
        <w:rPr>
          <w:rFonts w:ascii="Times New Roman" w:hAnsi="Times New Roman" w:cs="Times New Roman"/>
          <w:bCs/>
          <w:sz w:val="24"/>
          <w:szCs w:val="24"/>
        </w:rPr>
        <w:t>January 5, 2024</w:t>
      </w:r>
    </w:p>
    <w:p w14:paraId="36CDF1E5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C5B33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4B2C09A" w14:textId="20C7BDB1" w:rsidR="0045219E" w:rsidRDefault="00263D6B" w:rsidP="00090538">
      <w:r>
        <w:t xml:space="preserve">Adequate </w:t>
      </w:r>
      <w:r w:rsidR="00A079A4">
        <w:t xml:space="preserve">setting of </w:t>
      </w:r>
      <w:r w:rsidR="0045219E">
        <w:t xml:space="preserve">AMI’s </w:t>
      </w:r>
      <w:proofErr w:type="spellStart"/>
      <w:r w:rsidR="00A079A4">
        <w:t>Ignore_Bits</w:t>
      </w:r>
      <w:proofErr w:type="spellEnd"/>
      <w:r w:rsidR="00A079A4">
        <w:t xml:space="preserve"> </w:t>
      </w:r>
      <w:r w:rsidR="0045219E">
        <w:t xml:space="preserve">keyword </w:t>
      </w:r>
      <w:r w:rsidR="00A079A4">
        <w:t xml:space="preserve">is critical to </w:t>
      </w:r>
      <w:r w:rsidR="007B0008">
        <w:t xml:space="preserve">ensure </w:t>
      </w:r>
      <w:r w:rsidR="007E279F">
        <w:t xml:space="preserve">accurate representation </w:t>
      </w:r>
      <w:r w:rsidR="00A079A4">
        <w:t>of a sophisticated SerDes RX AMI</w:t>
      </w:r>
      <w:r w:rsidR="007E279F">
        <w:t xml:space="preserve"> beyond the stage of equalization (EQ) adaptation to compensate for channel length</w:t>
      </w:r>
      <w:r w:rsidR="00A079A4">
        <w:t xml:space="preserve">. These models </w:t>
      </w:r>
      <w:r>
        <w:t xml:space="preserve">need to recover </w:t>
      </w:r>
      <w:r w:rsidR="00204D38">
        <w:t xml:space="preserve">the </w:t>
      </w:r>
      <w:r>
        <w:t xml:space="preserve">clock, i.e., </w:t>
      </w:r>
      <w:r w:rsidR="00204D38">
        <w:t xml:space="preserve">the </w:t>
      </w:r>
      <w:r>
        <w:t xml:space="preserve">sampling point while driving toward </w:t>
      </w:r>
      <w:r w:rsidR="00204D38">
        <w:t>a final</w:t>
      </w:r>
      <w:r>
        <w:t xml:space="preserve"> EQ state. </w:t>
      </w:r>
      <w:r w:rsidR="00C3761E">
        <w:t xml:space="preserve">However, the required number of ignore bits is a function of </w:t>
      </w:r>
      <w:r w:rsidR="00204D38">
        <w:t xml:space="preserve">the </w:t>
      </w:r>
      <w:r w:rsidR="00C3761E">
        <w:t>channel at hand.</w:t>
      </w:r>
    </w:p>
    <w:p w14:paraId="5C79E4DB" w14:textId="0A494EBE" w:rsidR="00EA7086" w:rsidRDefault="0045219E" w:rsidP="00090538">
      <w:r>
        <w:t xml:space="preserve">Setting of </w:t>
      </w:r>
      <w:proofErr w:type="spellStart"/>
      <w:r>
        <w:t>Ignore_Bits</w:t>
      </w:r>
      <w:proofErr w:type="spellEnd"/>
      <w:r>
        <w:t xml:space="preserve"> has a direct impact on simulation time as it controls how much of the simulation needs to be discarded. Say we have a majority </w:t>
      </w:r>
      <w:r w:rsidRPr="0045219E">
        <w:rPr>
          <w:i/>
          <w:iCs/>
        </w:rPr>
        <w:t>M</w:t>
      </w:r>
      <w:r>
        <w:t xml:space="preserve"> out of </w:t>
      </w:r>
      <w:r w:rsidRPr="0045219E">
        <w:rPr>
          <w:i/>
          <w:iCs/>
        </w:rPr>
        <w:t>N</w:t>
      </w:r>
      <w:r>
        <w:t xml:space="preserve"> channels requiring </w:t>
      </w:r>
      <w:r w:rsidRPr="0045219E">
        <w:rPr>
          <w:i/>
          <w:iCs/>
        </w:rPr>
        <w:t>I</w:t>
      </w:r>
      <w:r>
        <w:t xml:space="preserve"> ignore bits and the remaining minority of </w:t>
      </w:r>
      <w:r w:rsidRPr="0045219E">
        <w:rPr>
          <w:i/>
          <w:iCs/>
        </w:rPr>
        <w:t>(N-M)</w:t>
      </w:r>
      <w:r>
        <w:t xml:space="preserve"> channels requiring </w:t>
      </w:r>
      <w:r w:rsidRPr="0045219E">
        <w:rPr>
          <w:i/>
          <w:iCs/>
        </w:rPr>
        <w:t>J</w:t>
      </w:r>
      <w:r>
        <w:t xml:space="preserve"> ignore bits. If </w:t>
      </w:r>
      <w:r w:rsidRPr="0004735C">
        <w:rPr>
          <w:i/>
          <w:iCs/>
        </w:rPr>
        <w:t>J</w:t>
      </w:r>
      <w:r>
        <w:t xml:space="preserve"> is dramatically larger than </w:t>
      </w:r>
      <w:r w:rsidRPr="00712DF4">
        <w:rPr>
          <w:i/>
          <w:iCs/>
        </w:rPr>
        <w:t>I</w:t>
      </w:r>
      <w:r>
        <w:t xml:space="preserve">, </w:t>
      </w:r>
      <w:r w:rsidR="00B264F8">
        <w:t xml:space="preserve">we would </w:t>
      </w:r>
      <w:r>
        <w:t xml:space="preserve">need to set </w:t>
      </w:r>
      <w:proofErr w:type="spellStart"/>
      <w:r w:rsidR="00204D38">
        <w:t>Ignore_Bits</w:t>
      </w:r>
      <w:proofErr w:type="spellEnd"/>
      <w:r>
        <w:t xml:space="preserve"> to the larger amount for all channels, thus wasting </w:t>
      </w:r>
      <w:r w:rsidR="0004735C">
        <w:t xml:space="preserve">considerable </w:t>
      </w:r>
      <w:r>
        <w:t xml:space="preserve">computational time </w:t>
      </w:r>
      <w:r w:rsidR="00B264F8">
        <w:t xml:space="preserve">-- </w:t>
      </w:r>
      <w:r w:rsidR="0004735C">
        <w:t xml:space="preserve">on the order of </w:t>
      </w:r>
      <w:r w:rsidR="0004735C" w:rsidRPr="0004735C">
        <w:rPr>
          <w:i/>
          <w:iCs/>
        </w:rPr>
        <w:t>(J-I)</w:t>
      </w:r>
      <w:r w:rsidR="0004735C">
        <w:t xml:space="preserve"> bits </w:t>
      </w:r>
      <w:r w:rsidR="00B264F8">
        <w:t xml:space="preserve">-- </w:t>
      </w:r>
      <w:r>
        <w:t xml:space="preserve">for </w:t>
      </w:r>
      <w:r w:rsidR="0004735C">
        <w:t>most</w:t>
      </w:r>
      <w:r>
        <w:t xml:space="preserve"> simulations. </w:t>
      </w:r>
      <w:r w:rsidR="0004735C">
        <w:t>We</w:t>
      </w:r>
      <w:r>
        <w:t xml:space="preserve"> have seen this problem in practice.</w:t>
      </w:r>
    </w:p>
    <w:p w14:paraId="08DE387A" w14:textId="0237626A" w:rsidR="0004735C" w:rsidRDefault="000C40CC" w:rsidP="00090538">
      <w:r>
        <w:t>Sophisticated r</w:t>
      </w:r>
      <w:r w:rsidR="0004735C">
        <w:t xml:space="preserve">eceivers </w:t>
      </w:r>
      <w:r>
        <w:t>already “</w:t>
      </w:r>
      <w:r w:rsidR="0004735C">
        <w:t>know</w:t>
      </w:r>
      <w:r>
        <w:t>”</w:t>
      </w:r>
      <w:r w:rsidR="0004735C">
        <w:t xml:space="preserve"> when they </w:t>
      </w:r>
      <w:r w:rsidR="00204D38">
        <w:t xml:space="preserve">have </w:t>
      </w:r>
      <w:r w:rsidR="0004735C">
        <w:t xml:space="preserve">completely </w:t>
      </w:r>
      <w:r w:rsidR="00554A5E">
        <w:t>locked,</w:t>
      </w:r>
      <w:r w:rsidR="0004735C">
        <w:t xml:space="preserve"> and EQ adaptation has reached the tracking or relatively stationary mode. Thus, we solve this problem </w:t>
      </w:r>
      <w:r w:rsidR="0088660A">
        <w:t xml:space="preserve">by letting the RX </w:t>
      </w:r>
      <w:r w:rsidR="00204D38">
        <w:t xml:space="preserve">model </w:t>
      </w:r>
      <w:r w:rsidR="0088660A">
        <w:t xml:space="preserve">report in a </w:t>
      </w:r>
      <w:proofErr w:type="spellStart"/>
      <w:r w:rsidR="0088660A">
        <w:t>boolean</w:t>
      </w:r>
      <w:proofErr w:type="spellEnd"/>
      <w:r w:rsidR="0088660A">
        <w:t xml:space="preserve"> output parameter that its output is in tracking mode. </w:t>
      </w:r>
      <w:r w:rsidR="0062499E">
        <w:t xml:space="preserve">This automatic ignoring mechanism uses the existing </w:t>
      </w:r>
      <w:proofErr w:type="spellStart"/>
      <w:r w:rsidR="0062499E">
        <w:t>Ignore_Bits</w:t>
      </w:r>
      <w:proofErr w:type="spellEnd"/>
      <w:r w:rsidR="0062499E">
        <w:t xml:space="preserve"> parameter </w:t>
      </w:r>
      <w:r w:rsidR="00FF3607">
        <w:t xml:space="preserve">to limit the number of blocks </w:t>
      </w:r>
      <w:r w:rsidR="00B530A3">
        <w:t xml:space="preserve">automatically </w:t>
      </w:r>
      <w:r w:rsidR="00FF3607">
        <w:t>ignored</w:t>
      </w:r>
      <w:r w:rsidR="00B530A3">
        <w:t xml:space="preserve"> in this fashion</w:t>
      </w:r>
      <w:r w:rsidR="00B53E1F">
        <w:t>, to</w:t>
      </w:r>
      <w:r w:rsidR="00FF3607">
        <w:t xml:space="preserve"> prevent potential</w:t>
      </w:r>
      <w:r w:rsidR="00BB3FDC">
        <w:t>ly</w:t>
      </w:r>
      <w:r w:rsidR="00FF3607">
        <w:t xml:space="preserve"> never-ending simulations that should yield closed eyes.</w:t>
      </w:r>
      <w:r w:rsidR="00A83BB8">
        <w:t xml:space="preserve"> This solution will work provided the block size is small enough for observability</w:t>
      </w:r>
      <w:r w:rsidR="00BB3FDC">
        <w:t>.</w:t>
      </w:r>
    </w:p>
    <w:p w14:paraId="4B4D7A27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65406C7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094ED9E" w14:textId="77777777" w:rsidR="00EA7086" w:rsidRPr="00945793" w:rsidRDefault="00EA7086" w:rsidP="00090538">
      <w:r>
        <w:t>The IBIS specification must meet these requirements:</w:t>
      </w:r>
    </w:p>
    <w:p w14:paraId="3C6C7A79" w14:textId="77777777" w:rsidR="00EA7086" w:rsidRDefault="00EA7086" w:rsidP="00EA708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51851E99" w14:textId="77777777" w:rsidTr="003E3B71">
        <w:tc>
          <w:tcPr>
            <w:tcW w:w="2487" w:type="pct"/>
          </w:tcPr>
          <w:p w14:paraId="28A35704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D4DECE0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5F76F081" w14:textId="77777777" w:rsidTr="003E3B71">
        <w:tc>
          <w:tcPr>
            <w:tcW w:w="2487" w:type="pct"/>
          </w:tcPr>
          <w:p w14:paraId="7AF3A986" w14:textId="14218C82" w:rsidR="00EA7086" w:rsidRPr="007F4749" w:rsidRDefault="00BB3FDC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Optionally d</w:t>
            </w:r>
            <w:r w:rsidR="00A83BB8">
              <w:rPr>
                <w:rFonts w:ascii="Times New Roman" w:hAnsi="Times New Roman" w:cs="Times New Roman"/>
                <w:sz w:val="24"/>
                <w:szCs w:val="24"/>
              </w:rPr>
              <w:t xml:space="preserve">efine </w:t>
            </w:r>
            <w:proofErr w:type="spellStart"/>
            <w:r w:rsidR="00A83BB8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  <w:r w:rsidR="00A83BB8">
              <w:rPr>
                <w:rFonts w:ascii="Times New Roman" w:hAnsi="Times New Roman" w:cs="Times New Roman"/>
                <w:sz w:val="24"/>
                <w:szCs w:val="24"/>
              </w:rPr>
              <w:t xml:space="preserve"> parameter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E76167">
              <w:rPr>
                <w:rFonts w:ascii="Times New Roman" w:hAnsi="Times New Roman" w:cs="Times New Roman"/>
                <w:sz w:val="24"/>
                <w:szCs w:val="24"/>
              </w:rPr>
              <w:t>Adaptation_Valid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83BB8">
              <w:rPr>
                <w:rFonts w:ascii="Times New Roman" w:hAnsi="Times New Roman" w:cs="Times New Roman"/>
                <w:sz w:val="24"/>
                <w:szCs w:val="24"/>
              </w:rPr>
              <w:t xml:space="preserve"> that will be </w:t>
            </w:r>
            <w:r w:rsidR="00C54774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until it becomes </w:t>
            </w:r>
            <w:r w:rsidR="00C54774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A83BB8">
              <w:rPr>
                <w:rFonts w:ascii="Times New Roman" w:hAnsi="Times New Roman" w:cs="Times New Roman"/>
                <w:sz w:val="24"/>
                <w:szCs w:val="24"/>
              </w:rPr>
              <w:t xml:space="preserve">RX 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locking</w:t>
            </w:r>
            <w:r w:rsidR="00EB47FC">
              <w:rPr>
                <w:rFonts w:ascii="Times New Roman" w:hAnsi="Times New Roman" w:cs="Times New Roman"/>
                <w:sz w:val="24"/>
                <w:szCs w:val="24"/>
              </w:rPr>
              <w:t xml:space="preserve"> that may optionally be used by EDA </w:t>
            </w:r>
            <w:r w:rsidR="00DE7FE5">
              <w:rPr>
                <w:rFonts w:ascii="Times New Roman" w:hAnsi="Times New Roman" w:cs="Times New Roman"/>
                <w:sz w:val="24"/>
                <w:szCs w:val="24"/>
              </w:rPr>
              <w:t>tools.</w:t>
            </w:r>
          </w:p>
        </w:tc>
        <w:tc>
          <w:tcPr>
            <w:tcW w:w="2513" w:type="pct"/>
          </w:tcPr>
          <w:p w14:paraId="70BB60A1" w14:textId="300508F6" w:rsidR="00EA7086" w:rsidRPr="007F4749" w:rsidRDefault="008E570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parameter</w:t>
            </w:r>
            <w:r w:rsidR="00E76167">
              <w:rPr>
                <w:rFonts w:ascii="Times New Roman" w:hAnsi="Times New Roman" w:cs="Times New Roman"/>
                <w:sz w:val="24"/>
                <w:szCs w:val="24"/>
              </w:rPr>
              <w:t xml:space="preserve"> turning on the automatic block ignoring that will also utilize </w:t>
            </w:r>
            <w:proofErr w:type="spellStart"/>
            <w:r w:rsidR="00E76167">
              <w:rPr>
                <w:rFonts w:ascii="Times New Roman" w:hAnsi="Times New Roman" w:cs="Times New Roman"/>
                <w:sz w:val="24"/>
                <w:szCs w:val="24"/>
              </w:rPr>
              <w:t>Ignore_Bits</w:t>
            </w:r>
            <w:proofErr w:type="spellEnd"/>
            <w:r w:rsidR="00E76167">
              <w:rPr>
                <w:rFonts w:ascii="Times New Roman" w:hAnsi="Times New Roman" w:cs="Times New Roman"/>
                <w:sz w:val="24"/>
                <w:szCs w:val="24"/>
              </w:rPr>
              <w:t xml:space="preserve"> of the model as the maximum number of bits to ignore.</w:t>
            </w:r>
          </w:p>
        </w:tc>
      </w:tr>
    </w:tbl>
    <w:p w14:paraId="593CCC3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C73AB7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C86626D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5A7ADA25" w14:textId="77777777" w:rsidR="00094836" w:rsidRDefault="00094836" w:rsidP="0009483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</w:t>
      </w:r>
      <w:proofErr w:type="spellStart"/>
      <w:proofErr w:type="gramStart"/>
      <w:r w:rsidR="00F95A55">
        <w:t>Subparameters</w:t>
      </w:r>
      <w:proofErr w:type="spellEnd"/>
      <w:r w:rsidR="00F95A55">
        <w:t xml:space="preserve">, </w:t>
      </w:r>
      <w:r>
        <w:t xml:space="preserve"> AMI</w:t>
      </w:r>
      <w:proofErr w:type="gramEnd"/>
      <w:r>
        <w:t xml:space="preserve"> </w:t>
      </w:r>
      <w:proofErr w:type="spellStart"/>
      <w:r>
        <w:t>Reserved_Parameters</w:t>
      </w:r>
      <w:proofErr w:type="spellEnd"/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50"/>
        <w:gridCol w:w="4542"/>
      </w:tblGrid>
      <w:tr w:rsidR="00861476" w:rsidRPr="007F4749" w14:paraId="11BA6E6D" w14:textId="77777777" w:rsidTr="00E76167">
        <w:tc>
          <w:tcPr>
            <w:tcW w:w="1486" w:type="pct"/>
          </w:tcPr>
          <w:p w14:paraId="360FA285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198" w:type="pct"/>
          </w:tcPr>
          <w:p w14:paraId="10DAA36F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316" w:type="pct"/>
          </w:tcPr>
          <w:p w14:paraId="2EBC8802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401620C7" w14:textId="77777777" w:rsidTr="00E76167">
        <w:tc>
          <w:tcPr>
            <w:tcW w:w="1486" w:type="pct"/>
          </w:tcPr>
          <w:p w14:paraId="382AF9D4" w14:textId="5FF737F2" w:rsidR="00861476" w:rsidRPr="007F4749" w:rsidRDefault="00E76167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Adaptation_Valid</w:t>
            </w:r>
            <w:proofErr w:type="spellEnd"/>
          </w:p>
        </w:tc>
        <w:tc>
          <w:tcPr>
            <w:tcW w:w="1198" w:type="pct"/>
          </w:tcPr>
          <w:p w14:paraId="63BF16A0" w14:textId="52AE49EC" w:rsidR="00861476" w:rsidRPr="007F4749" w:rsidRDefault="00DE7E2A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316" w:type="pct"/>
          </w:tcPr>
          <w:p w14:paraId="34D3E572" w14:textId="77777777"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FC225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877D64B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9816186" w14:textId="1EB9FE48" w:rsidR="001B23D0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303936A" w14:textId="2F996C88" w:rsidR="00D6264D" w:rsidRDefault="00A8176C" w:rsidP="00E76167">
      <w:pPr>
        <w:pStyle w:val="KeywordDescriptions"/>
        <w:spacing w:after="0"/>
        <w:rPr>
          <w:b/>
        </w:rPr>
      </w:pPr>
      <w:r>
        <w:rPr>
          <w:i/>
        </w:rPr>
        <w:t>Parameter</w:t>
      </w:r>
      <w:r w:rsidR="00D6264D">
        <w:rPr>
          <w:i/>
        </w:rPr>
        <w:t>:</w:t>
      </w:r>
      <w:r w:rsidR="00D6264D">
        <w:rPr>
          <w:i/>
        </w:rPr>
        <w:tab/>
      </w:r>
      <w:proofErr w:type="spellStart"/>
      <w:r w:rsidR="00E76167">
        <w:rPr>
          <w:b/>
        </w:rPr>
        <w:t>Adaptation_Valid</w:t>
      </w:r>
      <w:proofErr w:type="spellEnd"/>
    </w:p>
    <w:p w14:paraId="4B3B1CFA" w14:textId="6DB280A6" w:rsidR="00D6264D" w:rsidRDefault="00D6264D" w:rsidP="00E76167">
      <w:pPr>
        <w:pStyle w:val="KeywordDescriptions"/>
        <w:spacing w:before="0" w:after="0"/>
      </w:pPr>
      <w:r>
        <w:rPr>
          <w:i/>
        </w:rPr>
        <w:t>Required:</w:t>
      </w:r>
      <w:r>
        <w:tab/>
        <w:t>No, and illegal before IBIS 7.3</w:t>
      </w:r>
    </w:p>
    <w:p w14:paraId="73FE3F89" w14:textId="58FDB5D4" w:rsidR="00042F1F" w:rsidRDefault="00042F1F" w:rsidP="00E76167">
      <w:pPr>
        <w:pStyle w:val="KeywordDescriptions"/>
        <w:spacing w:before="0" w:after="0"/>
        <w:rPr>
          <w:i/>
          <w:iCs/>
        </w:rPr>
      </w:pPr>
      <w:r w:rsidRPr="00712DF4">
        <w:rPr>
          <w:i/>
          <w:iCs/>
        </w:rPr>
        <w:t>Direction</w:t>
      </w:r>
      <w:r>
        <w:rPr>
          <w:i/>
          <w:iCs/>
        </w:rPr>
        <w:t>:</w:t>
      </w:r>
      <w:r>
        <w:rPr>
          <w:i/>
          <w:iCs/>
        </w:rPr>
        <w:tab/>
      </w:r>
      <w:r w:rsidRPr="00712DF4">
        <w:t>Rx</w:t>
      </w:r>
    </w:p>
    <w:p w14:paraId="18355AC3" w14:textId="4AA8C89F" w:rsidR="00443BDD" w:rsidRPr="00712DF4" w:rsidRDefault="00443BDD" w:rsidP="00E76167">
      <w:pPr>
        <w:pStyle w:val="KeywordDescriptions"/>
        <w:spacing w:before="0" w:after="0"/>
        <w:rPr>
          <w:i/>
          <w:iCs/>
        </w:rPr>
      </w:pPr>
      <w:r>
        <w:rPr>
          <w:i/>
          <w:iCs/>
        </w:rPr>
        <w:t>Descriptors:</w:t>
      </w:r>
    </w:p>
    <w:p w14:paraId="06C5807D" w14:textId="4C3597CA" w:rsidR="00642ED5" w:rsidRDefault="00642ED5" w:rsidP="00E76167">
      <w:pPr>
        <w:pStyle w:val="KeywordDescriptions"/>
        <w:spacing w:before="0" w:after="0"/>
        <w:ind w:left="720"/>
        <w:rPr>
          <w:iCs/>
        </w:rPr>
      </w:pPr>
      <w:r w:rsidRPr="00712DF4">
        <w:rPr>
          <w:iCs/>
        </w:rPr>
        <w:t>Usage:</w:t>
      </w:r>
      <w:r>
        <w:rPr>
          <w:iCs/>
        </w:rPr>
        <w:t xml:space="preserve">        </w:t>
      </w:r>
      <w:r w:rsidR="002F5D51">
        <w:rPr>
          <w:iCs/>
        </w:rPr>
        <w:t xml:space="preserve"> </w:t>
      </w:r>
      <w:r>
        <w:rPr>
          <w:iCs/>
        </w:rPr>
        <w:t xml:space="preserve">    Out</w:t>
      </w:r>
    </w:p>
    <w:p w14:paraId="61805836" w14:textId="77777777" w:rsidR="00443BDD" w:rsidRPr="00D6264D" w:rsidRDefault="00443BDD" w:rsidP="00E76167">
      <w:pPr>
        <w:pStyle w:val="KeywordDescriptions"/>
        <w:spacing w:before="0" w:after="0"/>
        <w:ind w:left="720"/>
        <w:rPr>
          <w:iCs/>
        </w:rPr>
      </w:pPr>
      <w:r w:rsidRPr="00712DF4">
        <w:rPr>
          <w:iCs/>
        </w:rPr>
        <w:t>Type:</w:t>
      </w:r>
      <w:r w:rsidRPr="00443BDD">
        <w:rPr>
          <w:iCs/>
        </w:rPr>
        <w:t xml:space="preserve">  </w:t>
      </w:r>
      <w:r>
        <w:rPr>
          <w:iCs/>
        </w:rPr>
        <w:t xml:space="preserve">             Boolean</w:t>
      </w:r>
    </w:p>
    <w:p w14:paraId="4C41A2F0" w14:textId="1F94DAB9" w:rsidR="00443BDD" w:rsidRDefault="00443BDD" w:rsidP="00E76167">
      <w:pPr>
        <w:pStyle w:val="KeywordDescriptions"/>
        <w:spacing w:before="0" w:after="0"/>
        <w:ind w:left="720"/>
        <w:rPr>
          <w:iCs/>
        </w:rPr>
      </w:pPr>
      <w:r>
        <w:rPr>
          <w:iCs/>
        </w:rPr>
        <w:t>Format:</w:t>
      </w:r>
      <w:r>
        <w:rPr>
          <w:iCs/>
        </w:rPr>
        <w:tab/>
        <w:t>Value</w:t>
      </w:r>
    </w:p>
    <w:p w14:paraId="18F35BC6" w14:textId="4E296670" w:rsidR="00443BDD" w:rsidRDefault="00443BDD" w:rsidP="00E76167">
      <w:pPr>
        <w:pStyle w:val="KeywordDescriptions"/>
        <w:spacing w:before="0" w:after="0"/>
        <w:ind w:left="720"/>
        <w:rPr>
          <w:iCs/>
        </w:rPr>
      </w:pPr>
      <w:r>
        <w:rPr>
          <w:iCs/>
        </w:rPr>
        <w:t>Default:</w:t>
      </w:r>
      <w:r>
        <w:rPr>
          <w:iCs/>
        </w:rPr>
        <w:tab/>
        <w:t>&lt;</w:t>
      </w:r>
      <w:proofErr w:type="spellStart"/>
      <w:r>
        <w:rPr>
          <w:iCs/>
        </w:rPr>
        <w:t>Boolean_literal</w:t>
      </w:r>
      <w:proofErr w:type="spellEnd"/>
      <w:r>
        <w:rPr>
          <w:iCs/>
        </w:rPr>
        <w:t>&gt;</w:t>
      </w:r>
    </w:p>
    <w:p w14:paraId="5D772AAF" w14:textId="7E595C05" w:rsidR="00443BDD" w:rsidRDefault="00443BDD" w:rsidP="00E76167">
      <w:pPr>
        <w:pStyle w:val="KeywordDescriptions"/>
        <w:spacing w:before="0" w:after="0"/>
        <w:ind w:left="720"/>
        <w:rPr>
          <w:iCs/>
        </w:rPr>
      </w:pPr>
      <w:r>
        <w:rPr>
          <w:iCs/>
        </w:rPr>
        <w:t>Description:</w:t>
      </w:r>
      <w:r>
        <w:rPr>
          <w:iCs/>
        </w:rPr>
        <w:tab/>
        <w:t>&lt;string&gt;</w:t>
      </w:r>
    </w:p>
    <w:p w14:paraId="605CD05E" w14:textId="6A710E69" w:rsidR="00D6264D" w:rsidRDefault="00443BDD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D6264D"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i/>
          <w:sz w:val="24"/>
          <w:szCs w:val="24"/>
        </w:rPr>
        <w:t>fini</w:t>
      </w:r>
      <w:r w:rsidRPr="00D6264D">
        <w:rPr>
          <w:rFonts w:ascii="Times New Roman" w:hAnsi="Times New Roman" w:cs="Times New Roman"/>
          <w:i/>
          <w:sz w:val="24"/>
          <w:szCs w:val="24"/>
        </w:rPr>
        <w:t>tion</w:t>
      </w:r>
      <w:r w:rsidR="00D6264D">
        <w:rPr>
          <w:rFonts w:ascii="Times New Roman" w:hAnsi="Times New Roman" w:cs="Times New Roman"/>
          <w:i/>
          <w:sz w:val="24"/>
          <w:szCs w:val="24"/>
        </w:rPr>
        <w:t xml:space="preserve">:    </w:t>
      </w:r>
      <w:r w:rsidR="00D6264D" w:rsidRPr="00D6264D">
        <w:rPr>
          <w:rFonts w:ascii="Times New Roman" w:hAnsi="Times New Roman" w:cs="Times New Roman"/>
          <w:sz w:val="24"/>
          <w:szCs w:val="24"/>
        </w:rPr>
        <w:t>Indicates t</w:t>
      </w:r>
      <w:r w:rsidR="00D6264D">
        <w:rPr>
          <w:rFonts w:ascii="Times New Roman" w:hAnsi="Times New Roman" w:cs="Times New Roman"/>
          <w:sz w:val="24"/>
          <w:szCs w:val="24"/>
        </w:rPr>
        <w:t>he EQ tracking status or locking status of an RX AMI, which becomes 1 when the simulation data of that block can be consumed for eye generation.</w:t>
      </w:r>
    </w:p>
    <w:p w14:paraId="5AFEBDE5" w14:textId="734DCA0B" w:rsidR="00856205" w:rsidRDefault="00244CD9" w:rsidP="00642ED5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Usage</w:t>
      </w:r>
      <w:r w:rsidR="00642ED5">
        <w:rPr>
          <w:rFonts w:ascii="Times New Roman" w:hAnsi="Times New Roman" w:cs="Times New Roman"/>
          <w:i/>
          <w:sz w:val="24"/>
          <w:szCs w:val="24"/>
        </w:rPr>
        <w:t xml:space="preserve"> Rules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642ED5">
        <w:rPr>
          <w:rFonts w:ascii="Times New Roman" w:hAnsi="Times New Roman" w:cs="Times New Roman"/>
          <w:iCs/>
          <w:sz w:val="24"/>
          <w:szCs w:val="24"/>
        </w:rPr>
        <w:t xml:space="preserve"> This is an optional, </w:t>
      </w:r>
      <w:proofErr w:type="spellStart"/>
      <w:r w:rsidR="00642ED5">
        <w:rPr>
          <w:rFonts w:ascii="Times New Roman" w:hAnsi="Times New Roman" w:cs="Times New Roman"/>
          <w:iCs/>
          <w:sz w:val="24"/>
          <w:szCs w:val="24"/>
        </w:rPr>
        <w:t>boolean</w:t>
      </w:r>
      <w:proofErr w:type="spellEnd"/>
      <w:r w:rsidR="00642ED5">
        <w:rPr>
          <w:rFonts w:ascii="Times New Roman" w:hAnsi="Times New Roman" w:cs="Times New Roman"/>
          <w:iCs/>
          <w:sz w:val="24"/>
          <w:szCs w:val="24"/>
        </w:rPr>
        <w:t xml:space="preserve"> output parameter that will indicate to the EDA tool that the block of bits in question should be ignored or discarded provided the tracking mode is </w:t>
      </w:r>
      <w:r w:rsidR="00443BDD">
        <w:rPr>
          <w:rFonts w:ascii="Times New Roman" w:hAnsi="Times New Roman" w:cs="Times New Roman"/>
          <w:iCs/>
          <w:sz w:val="24"/>
          <w:szCs w:val="24"/>
        </w:rPr>
        <w:t xml:space="preserve">False </w:t>
      </w:r>
      <w:r w:rsidR="00642ED5">
        <w:rPr>
          <w:rFonts w:ascii="Times New Roman" w:hAnsi="Times New Roman" w:cs="Times New Roman"/>
          <w:iCs/>
          <w:sz w:val="24"/>
          <w:szCs w:val="24"/>
        </w:rPr>
        <w:t xml:space="preserve">and consumed for eye accumulation when it becomes </w:t>
      </w:r>
      <w:r w:rsidR="00443BDD">
        <w:rPr>
          <w:rFonts w:ascii="Times New Roman" w:hAnsi="Times New Roman" w:cs="Times New Roman"/>
          <w:iCs/>
          <w:sz w:val="24"/>
          <w:szCs w:val="24"/>
        </w:rPr>
        <w:t>True</w:t>
      </w:r>
      <w:r w:rsidR="00642ED5">
        <w:rPr>
          <w:rFonts w:ascii="Times New Roman" w:hAnsi="Times New Roman" w:cs="Times New Roman"/>
          <w:iCs/>
          <w:sz w:val="24"/>
          <w:szCs w:val="24"/>
        </w:rPr>
        <w:t>.</w:t>
      </w:r>
      <w:r w:rsidR="00C616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13AE">
        <w:rPr>
          <w:rFonts w:ascii="Times New Roman" w:hAnsi="Times New Roman" w:cs="Times New Roman"/>
          <w:iCs/>
          <w:sz w:val="24"/>
          <w:szCs w:val="24"/>
        </w:rPr>
        <w:t xml:space="preserve">If the EDA tool chooses to implement this automatic ignoring mechanism, it </w:t>
      </w:r>
      <w:r w:rsidR="00C61645" w:rsidRPr="002A57CB">
        <w:rPr>
          <w:rFonts w:ascii="Times New Roman" w:hAnsi="Times New Roman" w:cs="Times New Roman"/>
          <w:iCs/>
          <w:sz w:val="24"/>
          <w:szCs w:val="24"/>
        </w:rPr>
        <w:t xml:space="preserve">will start accumulating bits for eye diagram starting with the next block because the model is allowed to </w:t>
      </w:r>
      <w:r w:rsidR="00724C8A">
        <w:rPr>
          <w:rFonts w:ascii="Times New Roman" w:hAnsi="Times New Roman" w:cs="Times New Roman"/>
          <w:iCs/>
          <w:sz w:val="24"/>
          <w:szCs w:val="24"/>
        </w:rPr>
        <w:t xml:space="preserve">report </w:t>
      </w:r>
      <w:r w:rsidR="001665C7">
        <w:rPr>
          <w:rFonts w:ascii="Times New Roman" w:hAnsi="Times New Roman" w:cs="Times New Roman"/>
          <w:iCs/>
          <w:sz w:val="24"/>
          <w:szCs w:val="24"/>
        </w:rPr>
        <w:t xml:space="preserve">true provided the locking is successful anywhere in the </w:t>
      </w:r>
      <w:r w:rsidR="00DE7FE5">
        <w:rPr>
          <w:rFonts w:ascii="Times New Roman" w:hAnsi="Times New Roman" w:cs="Times New Roman"/>
          <w:iCs/>
          <w:sz w:val="24"/>
          <w:szCs w:val="24"/>
        </w:rPr>
        <w:t xml:space="preserve">relevant </w:t>
      </w:r>
      <w:r w:rsidR="001665C7">
        <w:rPr>
          <w:rFonts w:ascii="Times New Roman" w:hAnsi="Times New Roman" w:cs="Times New Roman"/>
          <w:iCs/>
          <w:sz w:val="24"/>
          <w:szCs w:val="24"/>
        </w:rPr>
        <w:t>block</w:t>
      </w:r>
      <w:r w:rsidR="00C61645" w:rsidRPr="002A57CB">
        <w:rPr>
          <w:rFonts w:ascii="Times New Roman" w:hAnsi="Times New Roman" w:cs="Times New Roman"/>
          <w:iCs/>
          <w:sz w:val="24"/>
          <w:szCs w:val="24"/>
        </w:rPr>
        <w:t>.</w:t>
      </w:r>
      <w:r w:rsidR="00A712B9">
        <w:rPr>
          <w:rFonts w:ascii="Times New Roman" w:hAnsi="Times New Roman" w:cs="Times New Roman"/>
          <w:iCs/>
          <w:sz w:val="24"/>
          <w:szCs w:val="24"/>
        </w:rPr>
        <w:t xml:space="preserve"> EDA tools have the option to ignore this parameter at the expense of potential runtime penalty</w:t>
      </w:r>
      <w:r w:rsidR="000819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6E5E">
        <w:rPr>
          <w:rFonts w:ascii="Times New Roman" w:hAnsi="Times New Roman" w:cs="Times New Roman"/>
          <w:iCs/>
          <w:sz w:val="24"/>
          <w:szCs w:val="24"/>
        </w:rPr>
        <w:t xml:space="preserve">for any reason including </w:t>
      </w:r>
      <w:r w:rsidR="005573AB">
        <w:rPr>
          <w:rFonts w:ascii="Times New Roman" w:hAnsi="Times New Roman" w:cs="Times New Roman"/>
          <w:iCs/>
          <w:sz w:val="24"/>
          <w:szCs w:val="24"/>
        </w:rPr>
        <w:t xml:space="preserve">asynchronous locking </w:t>
      </w:r>
      <w:r w:rsidR="00523CB1">
        <w:rPr>
          <w:rFonts w:ascii="Times New Roman" w:hAnsi="Times New Roman" w:cs="Times New Roman"/>
          <w:iCs/>
          <w:sz w:val="24"/>
          <w:szCs w:val="24"/>
        </w:rPr>
        <w:t xml:space="preserve">ambiguities </w:t>
      </w:r>
      <w:r w:rsidR="005573AB">
        <w:rPr>
          <w:rFonts w:ascii="Times New Roman" w:hAnsi="Times New Roman" w:cs="Times New Roman"/>
          <w:iCs/>
          <w:sz w:val="24"/>
          <w:szCs w:val="24"/>
        </w:rPr>
        <w:t xml:space="preserve">in case </w:t>
      </w:r>
      <w:r w:rsidR="000F1611">
        <w:rPr>
          <w:rFonts w:ascii="Times New Roman" w:hAnsi="Times New Roman" w:cs="Times New Roman"/>
          <w:iCs/>
          <w:sz w:val="24"/>
          <w:szCs w:val="24"/>
        </w:rPr>
        <w:t>multiple RX AMIs are simulated together.</w:t>
      </w:r>
      <w:r w:rsidR="00880A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355">
        <w:rPr>
          <w:rFonts w:ascii="Times New Roman" w:hAnsi="Times New Roman" w:cs="Times New Roman"/>
          <w:iCs/>
          <w:sz w:val="24"/>
          <w:szCs w:val="24"/>
        </w:rPr>
        <w:t xml:space="preserve">Additionally, </w:t>
      </w:r>
      <w:proofErr w:type="spellStart"/>
      <w:proofErr w:type="gramStart"/>
      <w:r w:rsidR="00880A61">
        <w:rPr>
          <w:rFonts w:ascii="Times New Roman" w:hAnsi="Times New Roman" w:cs="Times New Roman"/>
          <w:iCs/>
          <w:sz w:val="24"/>
          <w:szCs w:val="24"/>
        </w:rPr>
        <w:t>Ignore</w:t>
      </w:r>
      <w:proofErr w:type="gramEnd"/>
      <w:r w:rsidR="00880A61">
        <w:rPr>
          <w:rFonts w:ascii="Times New Roman" w:hAnsi="Times New Roman" w:cs="Times New Roman"/>
          <w:iCs/>
          <w:sz w:val="24"/>
          <w:szCs w:val="24"/>
        </w:rPr>
        <w:t>_Bits</w:t>
      </w:r>
      <w:proofErr w:type="spellEnd"/>
      <w:r w:rsidR="00880A61">
        <w:rPr>
          <w:rFonts w:ascii="Times New Roman" w:hAnsi="Times New Roman" w:cs="Times New Roman"/>
          <w:iCs/>
          <w:sz w:val="24"/>
          <w:szCs w:val="24"/>
        </w:rPr>
        <w:t xml:space="preserve"> should be set large enough to </w:t>
      </w:r>
      <w:r w:rsidR="00620648">
        <w:rPr>
          <w:rFonts w:ascii="Times New Roman" w:hAnsi="Times New Roman" w:cs="Times New Roman"/>
          <w:iCs/>
          <w:sz w:val="24"/>
          <w:szCs w:val="24"/>
        </w:rPr>
        <w:t xml:space="preserve">handle the </w:t>
      </w:r>
      <w:r w:rsidR="00406E46">
        <w:rPr>
          <w:rFonts w:ascii="Times New Roman" w:hAnsi="Times New Roman" w:cs="Times New Roman"/>
          <w:iCs/>
          <w:sz w:val="24"/>
          <w:szCs w:val="24"/>
        </w:rPr>
        <w:t>slow</w:t>
      </w:r>
      <w:r w:rsidR="00620648">
        <w:rPr>
          <w:rFonts w:ascii="Times New Roman" w:hAnsi="Times New Roman" w:cs="Times New Roman"/>
          <w:iCs/>
          <w:sz w:val="24"/>
          <w:szCs w:val="24"/>
        </w:rPr>
        <w:t>ly</w:t>
      </w:r>
      <w:r w:rsidR="00406E46">
        <w:rPr>
          <w:rFonts w:ascii="Times New Roman" w:hAnsi="Times New Roman" w:cs="Times New Roman"/>
          <w:iCs/>
          <w:sz w:val="24"/>
          <w:szCs w:val="24"/>
        </w:rPr>
        <w:t xml:space="preserve"> locking channels</w:t>
      </w:r>
      <w:r w:rsidR="00747AD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06E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7AD1">
        <w:rPr>
          <w:rFonts w:ascii="Times New Roman" w:hAnsi="Times New Roman" w:cs="Times New Roman"/>
          <w:iCs/>
          <w:sz w:val="24"/>
          <w:szCs w:val="24"/>
        </w:rPr>
        <w:t xml:space="preserve">As </w:t>
      </w:r>
      <w:r w:rsidR="0053062A">
        <w:rPr>
          <w:rFonts w:ascii="Times New Roman" w:hAnsi="Times New Roman" w:cs="Times New Roman"/>
          <w:iCs/>
          <w:sz w:val="24"/>
          <w:szCs w:val="24"/>
        </w:rPr>
        <w:t>aforementioned</w:t>
      </w:r>
      <w:r w:rsidR="00747AD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 w:rsidR="007D5A64">
        <w:rPr>
          <w:rFonts w:ascii="Times New Roman" w:hAnsi="Times New Roman" w:cs="Times New Roman"/>
          <w:iCs/>
          <w:sz w:val="24"/>
          <w:szCs w:val="24"/>
        </w:rPr>
        <w:t>Ignore</w:t>
      </w:r>
      <w:proofErr w:type="gramEnd"/>
      <w:r w:rsidR="007D5A64">
        <w:rPr>
          <w:rFonts w:ascii="Times New Roman" w:hAnsi="Times New Roman" w:cs="Times New Roman"/>
          <w:iCs/>
          <w:sz w:val="24"/>
          <w:szCs w:val="24"/>
        </w:rPr>
        <w:t>_Bits</w:t>
      </w:r>
      <w:proofErr w:type="spellEnd"/>
      <w:r w:rsidR="007D5A64">
        <w:rPr>
          <w:rFonts w:ascii="Times New Roman" w:hAnsi="Times New Roman" w:cs="Times New Roman"/>
          <w:iCs/>
          <w:sz w:val="24"/>
          <w:szCs w:val="24"/>
        </w:rPr>
        <w:t xml:space="preserve"> serves as </w:t>
      </w:r>
      <w:r w:rsidR="00E00355">
        <w:rPr>
          <w:rFonts w:ascii="Times New Roman" w:hAnsi="Times New Roman" w:cs="Times New Roman"/>
          <w:iCs/>
          <w:sz w:val="24"/>
          <w:szCs w:val="24"/>
        </w:rPr>
        <w:t>the maximum number of bits</w:t>
      </w:r>
      <w:r w:rsidR="007D5A64">
        <w:rPr>
          <w:rFonts w:ascii="Times New Roman" w:hAnsi="Times New Roman" w:cs="Times New Roman"/>
          <w:iCs/>
          <w:sz w:val="24"/>
          <w:szCs w:val="24"/>
        </w:rPr>
        <w:t xml:space="preserve"> to </w:t>
      </w:r>
      <w:r w:rsidR="0017544E">
        <w:rPr>
          <w:rFonts w:ascii="Times New Roman" w:hAnsi="Times New Roman" w:cs="Times New Roman"/>
          <w:iCs/>
          <w:sz w:val="24"/>
          <w:szCs w:val="24"/>
        </w:rPr>
        <w:t>ignore</w:t>
      </w:r>
      <w:r w:rsidR="00701F7E">
        <w:rPr>
          <w:rFonts w:ascii="Times New Roman" w:hAnsi="Times New Roman" w:cs="Times New Roman"/>
          <w:iCs/>
          <w:sz w:val="24"/>
          <w:szCs w:val="24"/>
        </w:rPr>
        <w:t xml:space="preserve"> if this automatic ignoring mechanism is implemented.</w:t>
      </w:r>
    </w:p>
    <w:p w14:paraId="4CA2DEA9" w14:textId="5DBB4323" w:rsidR="007B34A7" w:rsidRDefault="00642ED5" w:rsidP="00642ED5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Example:</w:t>
      </w:r>
    </w:p>
    <w:p w14:paraId="4827B669" w14:textId="0AECEEC5" w:rsidR="00642ED5" w:rsidRPr="007B34A7" w:rsidRDefault="00642ED5" w:rsidP="00642ED5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iCs/>
        </w:rPr>
      </w:pPr>
      <w:r w:rsidRPr="007B34A7">
        <w:rPr>
          <w:iCs/>
        </w:rPr>
        <w:t>(</w:t>
      </w:r>
      <w:proofErr w:type="spellStart"/>
      <w:r w:rsidR="00E76167">
        <w:rPr>
          <w:iCs/>
        </w:rPr>
        <w:t>Adaptation_Valid</w:t>
      </w:r>
      <w:proofErr w:type="spellEnd"/>
      <w:r w:rsidRPr="007B34A7">
        <w:rPr>
          <w:iCs/>
        </w:rPr>
        <w:t xml:space="preserve"> (Usage Out) (Type Boolean) (</w:t>
      </w:r>
      <w:r w:rsidR="007B34A7">
        <w:rPr>
          <w:iCs/>
        </w:rPr>
        <w:t>Value</w:t>
      </w:r>
      <w:r w:rsidRPr="007B34A7">
        <w:rPr>
          <w:iCs/>
        </w:rPr>
        <w:t xml:space="preserve"> </w:t>
      </w:r>
      <w:r w:rsidR="00443BDD" w:rsidRPr="007B34A7">
        <w:rPr>
          <w:iCs/>
        </w:rPr>
        <w:t>False</w:t>
      </w:r>
      <w:r w:rsidRPr="007B34A7">
        <w:rPr>
          <w:iCs/>
        </w:rPr>
        <w:t xml:space="preserve">) (Description “Control </w:t>
      </w:r>
      <w:r w:rsidR="005469C1">
        <w:rPr>
          <w:iCs/>
        </w:rPr>
        <w:t xml:space="preserve">automatic </w:t>
      </w:r>
      <w:r w:rsidRPr="007B34A7">
        <w:rPr>
          <w:iCs/>
        </w:rPr>
        <w:t>ignoring of current block of simulation.”))</w:t>
      </w:r>
    </w:p>
    <w:p w14:paraId="58C6F133" w14:textId="77777777" w:rsidR="00D6264D" w:rsidRPr="00175664" w:rsidRDefault="00D6264D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3873FAC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6A29C34" w14:textId="77777777" w:rsidR="001B23D0" w:rsidRPr="00175664" w:rsidRDefault="001B23D0" w:rsidP="001B23D0">
      <w:r>
        <w:t>(Relevant notes regarding history, discussions, and revisions go here.)</w:t>
      </w:r>
      <w:bookmarkEnd w:id="0"/>
      <w:bookmarkEnd w:id="1"/>
      <w:bookmarkEnd w:id="2"/>
    </w:p>
    <w:sectPr w:rsidR="001B23D0" w:rsidRPr="00175664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722F" w14:textId="77777777" w:rsidR="00046049" w:rsidRDefault="00046049">
      <w:r>
        <w:separator/>
      </w:r>
    </w:p>
  </w:endnote>
  <w:endnote w:type="continuationSeparator" w:id="0">
    <w:p w14:paraId="367CEDF6" w14:textId="77777777" w:rsidR="00046049" w:rsidRDefault="0004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8FA6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A808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0E3D" w14:textId="77777777" w:rsidR="00046049" w:rsidRDefault="00046049">
      <w:r>
        <w:separator/>
      </w:r>
    </w:p>
  </w:footnote>
  <w:footnote w:type="continuationSeparator" w:id="0">
    <w:p w14:paraId="091132A5" w14:textId="77777777" w:rsidR="00046049" w:rsidRDefault="0004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A4C2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0E80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327F31E5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028286">
    <w:abstractNumId w:val="9"/>
  </w:num>
  <w:num w:numId="2" w16cid:durableId="200243379">
    <w:abstractNumId w:val="7"/>
  </w:num>
  <w:num w:numId="3" w16cid:durableId="927925468">
    <w:abstractNumId w:val="6"/>
  </w:num>
  <w:num w:numId="4" w16cid:durableId="914439475">
    <w:abstractNumId w:val="5"/>
  </w:num>
  <w:num w:numId="5" w16cid:durableId="1926528417">
    <w:abstractNumId w:val="4"/>
  </w:num>
  <w:num w:numId="6" w16cid:durableId="367073479">
    <w:abstractNumId w:val="8"/>
  </w:num>
  <w:num w:numId="7" w16cid:durableId="1476919614">
    <w:abstractNumId w:val="3"/>
  </w:num>
  <w:num w:numId="8" w16cid:durableId="1159148665">
    <w:abstractNumId w:val="2"/>
  </w:num>
  <w:num w:numId="9" w16cid:durableId="1237208239">
    <w:abstractNumId w:val="1"/>
  </w:num>
  <w:num w:numId="10" w16cid:durableId="322464880">
    <w:abstractNumId w:val="0"/>
  </w:num>
  <w:num w:numId="11" w16cid:durableId="671644525">
    <w:abstractNumId w:val="35"/>
  </w:num>
  <w:num w:numId="12" w16cid:durableId="781150882">
    <w:abstractNumId w:val="39"/>
  </w:num>
  <w:num w:numId="13" w16cid:durableId="1059675172">
    <w:abstractNumId w:val="13"/>
  </w:num>
  <w:num w:numId="14" w16cid:durableId="1850869535">
    <w:abstractNumId w:val="53"/>
  </w:num>
  <w:num w:numId="15" w16cid:durableId="247233556">
    <w:abstractNumId w:val="8"/>
  </w:num>
  <w:num w:numId="16" w16cid:durableId="824004545">
    <w:abstractNumId w:val="11"/>
  </w:num>
  <w:num w:numId="17" w16cid:durableId="1843083576">
    <w:abstractNumId w:val="52"/>
  </w:num>
  <w:num w:numId="18" w16cid:durableId="1336765115">
    <w:abstractNumId w:val="38"/>
  </w:num>
  <w:num w:numId="19" w16cid:durableId="2077242700">
    <w:abstractNumId w:val="22"/>
  </w:num>
  <w:num w:numId="20" w16cid:durableId="239488582">
    <w:abstractNumId w:val="30"/>
  </w:num>
  <w:num w:numId="21" w16cid:durableId="2023899315">
    <w:abstractNumId w:val="42"/>
  </w:num>
  <w:num w:numId="22" w16cid:durableId="2076318835">
    <w:abstractNumId w:val="30"/>
    <w:lvlOverride w:ilvl="0">
      <w:startOverride w:val="1"/>
    </w:lvlOverride>
  </w:num>
  <w:num w:numId="23" w16cid:durableId="1400324911">
    <w:abstractNumId w:val="30"/>
    <w:lvlOverride w:ilvl="0">
      <w:startOverride w:val="1"/>
    </w:lvlOverride>
  </w:num>
  <w:num w:numId="24" w16cid:durableId="625163342">
    <w:abstractNumId w:val="30"/>
    <w:lvlOverride w:ilvl="0">
      <w:startOverride w:val="7"/>
    </w:lvlOverride>
  </w:num>
  <w:num w:numId="25" w16cid:durableId="612131445">
    <w:abstractNumId w:val="30"/>
    <w:lvlOverride w:ilvl="0">
      <w:startOverride w:val="7"/>
    </w:lvlOverride>
  </w:num>
  <w:num w:numId="26" w16cid:durableId="1074545065">
    <w:abstractNumId w:val="50"/>
  </w:num>
  <w:num w:numId="27" w16cid:durableId="2046253367">
    <w:abstractNumId w:val="33"/>
  </w:num>
  <w:num w:numId="28" w16cid:durableId="406074405">
    <w:abstractNumId w:val="33"/>
    <w:lvlOverride w:ilvl="0">
      <w:startOverride w:val="1"/>
    </w:lvlOverride>
  </w:num>
  <w:num w:numId="29" w16cid:durableId="923608319">
    <w:abstractNumId w:val="33"/>
    <w:lvlOverride w:ilvl="0">
      <w:startOverride w:val="1"/>
    </w:lvlOverride>
  </w:num>
  <w:num w:numId="30" w16cid:durableId="864636285">
    <w:abstractNumId w:val="19"/>
  </w:num>
  <w:num w:numId="31" w16cid:durableId="1124731799">
    <w:abstractNumId w:val="33"/>
    <w:lvlOverride w:ilvl="0">
      <w:startOverride w:val="1"/>
    </w:lvlOverride>
  </w:num>
  <w:num w:numId="32" w16cid:durableId="1603489479">
    <w:abstractNumId w:val="33"/>
    <w:lvlOverride w:ilvl="0">
      <w:startOverride w:val="1"/>
    </w:lvlOverride>
  </w:num>
  <w:num w:numId="33" w16cid:durableId="1724255966">
    <w:abstractNumId w:val="27"/>
  </w:num>
  <w:num w:numId="34" w16cid:durableId="130947714">
    <w:abstractNumId w:val="29"/>
  </w:num>
  <w:num w:numId="35" w16cid:durableId="1643925971">
    <w:abstractNumId w:val="18"/>
  </w:num>
  <w:num w:numId="36" w16cid:durableId="1560510176">
    <w:abstractNumId w:val="13"/>
    <w:lvlOverride w:ilvl="0">
      <w:startOverride w:val="1"/>
    </w:lvlOverride>
  </w:num>
  <w:num w:numId="37" w16cid:durableId="930577438">
    <w:abstractNumId w:val="44"/>
  </w:num>
  <w:num w:numId="38" w16cid:durableId="2031299870">
    <w:abstractNumId w:val="51"/>
  </w:num>
  <w:num w:numId="39" w16cid:durableId="1948152541">
    <w:abstractNumId w:val="15"/>
  </w:num>
  <w:num w:numId="40" w16cid:durableId="1818448008">
    <w:abstractNumId w:val="13"/>
    <w:lvlOverride w:ilvl="0">
      <w:startOverride w:val="1"/>
    </w:lvlOverride>
  </w:num>
  <w:num w:numId="41" w16cid:durableId="1496266722">
    <w:abstractNumId w:val="53"/>
    <w:lvlOverride w:ilvl="0">
      <w:startOverride w:val="1"/>
    </w:lvlOverride>
  </w:num>
  <w:num w:numId="42" w16cid:durableId="720906982">
    <w:abstractNumId w:val="31"/>
  </w:num>
  <w:num w:numId="43" w16cid:durableId="2139374638">
    <w:abstractNumId w:val="41"/>
  </w:num>
  <w:num w:numId="44" w16cid:durableId="736633695">
    <w:abstractNumId w:val="47"/>
  </w:num>
  <w:num w:numId="45" w16cid:durableId="711074625">
    <w:abstractNumId w:val="46"/>
  </w:num>
  <w:num w:numId="46" w16cid:durableId="1707753163">
    <w:abstractNumId w:val="43"/>
  </w:num>
  <w:num w:numId="47" w16cid:durableId="860050694">
    <w:abstractNumId w:val="26"/>
  </w:num>
  <w:num w:numId="48" w16cid:durableId="276760984">
    <w:abstractNumId w:val="37"/>
  </w:num>
  <w:num w:numId="49" w16cid:durableId="1659336419">
    <w:abstractNumId w:val="20"/>
  </w:num>
  <w:num w:numId="50" w16cid:durableId="367919870">
    <w:abstractNumId w:val="10"/>
  </w:num>
  <w:num w:numId="51" w16cid:durableId="1610314465">
    <w:abstractNumId w:val="23"/>
  </w:num>
  <w:num w:numId="52" w16cid:durableId="870610383">
    <w:abstractNumId w:val="54"/>
  </w:num>
  <w:num w:numId="53" w16cid:durableId="1922176346">
    <w:abstractNumId w:val="28"/>
  </w:num>
  <w:num w:numId="54" w16cid:durableId="1743722078">
    <w:abstractNumId w:val="24"/>
  </w:num>
  <w:num w:numId="55" w16cid:durableId="752702605">
    <w:abstractNumId w:val="48"/>
  </w:num>
  <w:num w:numId="56" w16cid:durableId="1303073876">
    <w:abstractNumId w:val="16"/>
  </w:num>
  <w:num w:numId="57" w16cid:durableId="155338892">
    <w:abstractNumId w:val="21"/>
  </w:num>
  <w:num w:numId="58" w16cid:durableId="1695812442">
    <w:abstractNumId w:val="40"/>
  </w:num>
  <w:num w:numId="59" w16cid:durableId="862089683">
    <w:abstractNumId w:val="49"/>
  </w:num>
  <w:num w:numId="60" w16cid:durableId="962349768">
    <w:abstractNumId w:val="12"/>
  </w:num>
  <w:num w:numId="61" w16cid:durableId="1262447456">
    <w:abstractNumId w:val="14"/>
  </w:num>
  <w:num w:numId="62" w16cid:durableId="622076716">
    <w:abstractNumId w:val="55"/>
  </w:num>
  <w:num w:numId="63" w16cid:durableId="173763060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74109793">
    <w:abstractNumId w:val="34"/>
  </w:num>
  <w:num w:numId="65" w16cid:durableId="995491892">
    <w:abstractNumId w:val="45"/>
  </w:num>
  <w:num w:numId="66" w16cid:durableId="311257780">
    <w:abstractNumId w:val="25"/>
  </w:num>
  <w:num w:numId="67" w16cid:durableId="1032068832">
    <w:abstractNumId w:val="17"/>
  </w:num>
  <w:num w:numId="68" w16cid:durableId="92673563">
    <w:abstractNumId w:val="32"/>
  </w:num>
  <w:num w:numId="69" w16cid:durableId="513038950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2F1F"/>
    <w:rsid w:val="0004354A"/>
    <w:rsid w:val="00046049"/>
    <w:rsid w:val="00046BDF"/>
    <w:rsid w:val="0004735C"/>
    <w:rsid w:val="00047DE0"/>
    <w:rsid w:val="00050E63"/>
    <w:rsid w:val="00051835"/>
    <w:rsid w:val="000546B6"/>
    <w:rsid w:val="00055180"/>
    <w:rsid w:val="00056123"/>
    <w:rsid w:val="000575A2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1975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B6E73"/>
    <w:rsid w:val="000C078D"/>
    <w:rsid w:val="000C15F8"/>
    <w:rsid w:val="000C395E"/>
    <w:rsid w:val="000C40CC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1611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924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665C7"/>
    <w:rsid w:val="00170A11"/>
    <w:rsid w:val="00173087"/>
    <w:rsid w:val="00174154"/>
    <w:rsid w:val="0017544E"/>
    <w:rsid w:val="00175664"/>
    <w:rsid w:val="00175874"/>
    <w:rsid w:val="00176440"/>
    <w:rsid w:val="00176CDE"/>
    <w:rsid w:val="00177200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07FB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5DD5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3BD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38"/>
    <w:rsid w:val="00204DCD"/>
    <w:rsid w:val="00205C9B"/>
    <w:rsid w:val="00210114"/>
    <w:rsid w:val="00210445"/>
    <w:rsid w:val="002105BF"/>
    <w:rsid w:val="00210FAA"/>
    <w:rsid w:val="0021168D"/>
    <w:rsid w:val="00211954"/>
    <w:rsid w:val="002135AB"/>
    <w:rsid w:val="00213D61"/>
    <w:rsid w:val="0021468E"/>
    <w:rsid w:val="00215EB4"/>
    <w:rsid w:val="00216458"/>
    <w:rsid w:val="00216C2F"/>
    <w:rsid w:val="00217C30"/>
    <w:rsid w:val="00220CB9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CD9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3D6B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879A4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A57CB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01F4"/>
    <w:rsid w:val="002F1114"/>
    <w:rsid w:val="002F35BE"/>
    <w:rsid w:val="002F3C2B"/>
    <w:rsid w:val="002F57E4"/>
    <w:rsid w:val="002F5D51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D9C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42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6084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0878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06E46"/>
    <w:rsid w:val="00416BB1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3BDD"/>
    <w:rsid w:val="004444E4"/>
    <w:rsid w:val="004507CF"/>
    <w:rsid w:val="00451F94"/>
    <w:rsid w:val="0045219E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0912"/>
    <w:rsid w:val="00491E1A"/>
    <w:rsid w:val="00494653"/>
    <w:rsid w:val="0049518C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A75BD"/>
    <w:rsid w:val="004B0D6F"/>
    <w:rsid w:val="004B5034"/>
    <w:rsid w:val="004B53EF"/>
    <w:rsid w:val="004B5CEC"/>
    <w:rsid w:val="004B5EA0"/>
    <w:rsid w:val="004B7F23"/>
    <w:rsid w:val="004D0EB0"/>
    <w:rsid w:val="004D2C36"/>
    <w:rsid w:val="004D2D02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504"/>
    <w:rsid w:val="00500B80"/>
    <w:rsid w:val="005079E8"/>
    <w:rsid w:val="00507B36"/>
    <w:rsid w:val="00512C46"/>
    <w:rsid w:val="0051349A"/>
    <w:rsid w:val="005214D0"/>
    <w:rsid w:val="00522AB4"/>
    <w:rsid w:val="00523B37"/>
    <w:rsid w:val="00523CB1"/>
    <w:rsid w:val="00523CC0"/>
    <w:rsid w:val="00524C69"/>
    <w:rsid w:val="00526735"/>
    <w:rsid w:val="0052795B"/>
    <w:rsid w:val="0053062A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9C1"/>
    <w:rsid w:val="00546F96"/>
    <w:rsid w:val="005479C6"/>
    <w:rsid w:val="00550BC0"/>
    <w:rsid w:val="00550F2A"/>
    <w:rsid w:val="00552F36"/>
    <w:rsid w:val="005532E9"/>
    <w:rsid w:val="00554A5E"/>
    <w:rsid w:val="005561A5"/>
    <w:rsid w:val="005573AB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B6E02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52CD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34C8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648"/>
    <w:rsid w:val="00620B2C"/>
    <w:rsid w:val="00621999"/>
    <w:rsid w:val="00622CC5"/>
    <w:rsid w:val="00623FBF"/>
    <w:rsid w:val="0062499E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2ED5"/>
    <w:rsid w:val="00643A30"/>
    <w:rsid w:val="006455F3"/>
    <w:rsid w:val="00645A67"/>
    <w:rsid w:val="00645FFF"/>
    <w:rsid w:val="0064667C"/>
    <w:rsid w:val="00646AC9"/>
    <w:rsid w:val="006477CE"/>
    <w:rsid w:val="006513AE"/>
    <w:rsid w:val="00652ED6"/>
    <w:rsid w:val="0065307C"/>
    <w:rsid w:val="00656045"/>
    <w:rsid w:val="0065644A"/>
    <w:rsid w:val="00656EE5"/>
    <w:rsid w:val="006608FE"/>
    <w:rsid w:val="00662FC7"/>
    <w:rsid w:val="0066354B"/>
    <w:rsid w:val="00664C6D"/>
    <w:rsid w:val="006659CF"/>
    <w:rsid w:val="006663C0"/>
    <w:rsid w:val="00670F0F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6F6E5E"/>
    <w:rsid w:val="00700CFF"/>
    <w:rsid w:val="00701F7E"/>
    <w:rsid w:val="00703409"/>
    <w:rsid w:val="00707D66"/>
    <w:rsid w:val="007115B9"/>
    <w:rsid w:val="00712DF4"/>
    <w:rsid w:val="007140AA"/>
    <w:rsid w:val="007165E1"/>
    <w:rsid w:val="0071693C"/>
    <w:rsid w:val="0072090B"/>
    <w:rsid w:val="00720E8F"/>
    <w:rsid w:val="00721A01"/>
    <w:rsid w:val="00722578"/>
    <w:rsid w:val="00722E1A"/>
    <w:rsid w:val="007248CF"/>
    <w:rsid w:val="00724AB0"/>
    <w:rsid w:val="00724C8A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AD1"/>
    <w:rsid w:val="00747BAB"/>
    <w:rsid w:val="00751ADD"/>
    <w:rsid w:val="00751FBE"/>
    <w:rsid w:val="007523AD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45B8"/>
    <w:rsid w:val="007A5EE0"/>
    <w:rsid w:val="007A67D3"/>
    <w:rsid w:val="007A7867"/>
    <w:rsid w:val="007B0008"/>
    <w:rsid w:val="007B0C44"/>
    <w:rsid w:val="007B162D"/>
    <w:rsid w:val="007B1C70"/>
    <w:rsid w:val="007B34A7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5A64"/>
    <w:rsid w:val="007D79F6"/>
    <w:rsid w:val="007E0814"/>
    <w:rsid w:val="007E14DC"/>
    <w:rsid w:val="007E279F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1A2D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56205"/>
    <w:rsid w:val="00861476"/>
    <w:rsid w:val="00864A9F"/>
    <w:rsid w:val="00867C17"/>
    <w:rsid w:val="00870184"/>
    <w:rsid w:val="00870660"/>
    <w:rsid w:val="008730C6"/>
    <w:rsid w:val="008744E9"/>
    <w:rsid w:val="00880A61"/>
    <w:rsid w:val="00881DBD"/>
    <w:rsid w:val="00881FA3"/>
    <w:rsid w:val="0088223E"/>
    <w:rsid w:val="00882995"/>
    <w:rsid w:val="00882DB2"/>
    <w:rsid w:val="00885E8D"/>
    <w:rsid w:val="008864C6"/>
    <w:rsid w:val="0088660A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48CB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70E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155B"/>
    <w:rsid w:val="00952449"/>
    <w:rsid w:val="009541F4"/>
    <w:rsid w:val="0095472A"/>
    <w:rsid w:val="009549B9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3A4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23A"/>
    <w:rsid w:val="00986887"/>
    <w:rsid w:val="0099095D"/>
    <w:rsid w:val="00991272"/>
    <w:rsid w:val="00994066"/>
    <w:rsid w:val="009942EE"/>
    <w:rsid w:val="00994313"/>
    <w:rsid w:val="00994C2D"/>
    <w:rsid w:val="009961D5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1C7D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79A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20C6"/>
    <w:rsid w:val="00A63605"/>
    <w:rsid w:val="00A67F34"/>
    <w:rsid w:val="00A70B00"/>
    <w:rsid w:val="00A712B9"/>
    <w:rsid w:val="00A71FB0"/>
    <w:rsid w:val="00A72296"/>
    <w:rsid w:val="00A73153"/>
    <w:rsid w:val="00A758D7"/>
    <w:rsid w:val="00A75BE0"/>
    <w:rsid w:val="00A75E68"/>
    <w:rsid w:val="00A76F78"/>
    <w:rsid w:val="00A80D56"/>
    <w:rsid w:val="00A8176C"/>
    <w:rsid w:val="00A83BB8"/>
    <w:rsid w:val="00A84A74"/>
    <w:rsid w:val="00A85942"/>
    <w:rsid w:val="00A90370"/>
    <w:rsid w:val="00A91289"/>
    <w:rsid w:val="00A92115"/>
    <w:rsid w:val="00A92965"/>
    <w:rsid w:val="00A92BAB"/>
    <w:rsid w:val="00A9437B"/>
    <w:rsid w:val="00A944FA"/>
    <w:rsid w:val="00A95A30"/>
    <w:rsid w:val="00A96FE7"/>
    <w:rsid w:val="00AA0981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5C18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1313"/>
    <w:rsid w:val="00B22BE8"/>
    <w:rsid w:val="00B230B2"/>
    <w:rsid w:val="00B24054"/>
    <w:rsid w:val="00B24F13"/>
    <w:rsid w:val="00B2517D"/>
    <w:rsid w:val="00B264F8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45993"/>
    <w:rsid w:val="00B51971"/>
    <w:rsid w:val="00B51F0A"/>
    <w:rsid w:val="00B52636"/>
    <w:rsid w:val="00B52C6F"/>
    <w:rsid w:val="00B530A3"/>
    <w:rsid w:val="00B531B0"/>
    <w:rsid w:val="00B53E1F"/>
    <w:rsid w:val="00B56A36"/>
    <w:rsid w:val="00B56AD2"/>
    <w:rsid w:val="00B60399"/>
    <w:rsid w:val="00B63CE8"/>
    <w:rsid w:val="00B63F9A"/>
    <w:rsid w:val="00B64159"/>
    <w:rsid w:val="00B67630"/>
    <w:rsid w:val="00B67DD5"/>
    <w:rsid w:val="00B702B5"/>
    <w:rsid w:val="00B707F5"/>
    <w:rsid w:val="00B70A1D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3FDC"/>
    <w:rsid w:val="00BB4491"/>
    <w:rsid w:val="00BB4C60"/>
    <w:rsid w:val="00BB53D1"/>
    <w:rsid w:val="00BB5451"/>
    <w:rsid w:val="00BB6FB5"/>
    <w:rsid w:val="00BB7E9C"/>
    <w:rsid w:val="00BC022D"/>
    <w:rsid w:val="00BC240E"/>
    <w:rsid w:val="00BC41CB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3761E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4774"/>
    <w:rsid w:val="00C5590D"/>
    <w:rsid w:val="00C5656C"/>
    <w:rsid w:val="00C5749E"/>
    <w:rsid w:val="00C577C8"/>
    <w:rsid w:val="00C61645"/>
    <w:rsid w:val="00C61762"/>
    <w:rsid w:val="00C6246B"/>
    <w:rsid w:val="00C63313"/>
    <w:rsid w:val="00C63588"/>
    <w:rsid w:val="00C6535E"/>
    <w:rsid w:val="00C65409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926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3661B"/>
    <w:rsid w:val="00D43998"/>
    <w:rsid w:val="00D43B31"/>
    <w:rsid w:val="00D4432F"/>
    <w:rsid w:val="00D45845"/>
    <w:rsid w:val="00D54901"/>
    <w:rsid w:val="00D6264D"/>
    <w:rsid w:val="00D62B9A"/>
    <w:rsid w:val="00D633D5"/>
    <w:rsid w:val="00D64FAE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54E7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45A0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E7E2A"/>
    <w:rsid w:val="00DE7FE5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355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1A40"/>
    <w:rsid w:val="00E7339F"/>
    <w:rsid w:val="00E75D57"/>
    <w:rsid w:val="00E7616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B3F84"/>
    <w:rsid w:val="00EB47FC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61"/>
    <w:rsid w:val="00F00A8B"/>
    <w:rsid w:val="00F013B1"/>
    <w:rsid w:val="00F02AF6"/>
    <w:rsid w:val="00F0366C"/>
    <w:rsid w:val="00F047C0"/>
    <w:rsid w:val="00F06AE5"/>
    <w:rsid w:val="00F071F9"/>
    <w:rsid w:val="00F0762F"/>
    <w:rsid w:val="00F158DB"/>
    <w:rsid w:val="00F17B80"/>
    <w:rsid w:val="00F21A78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0F8A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5B5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6BA3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3607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1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04D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4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4D3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4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4D38"/>
    <w:rPr>
      <w:b/>
      <w:bCs/>
      <w:lang w:eastAsia="zh-CN"/>
    </w:rPr>
  </w:style>
  <w:style w:type="paragraph" w:styleId="Revision">
    <w:name w:val="Revision"/>
    <w:hidden/>
    <w:uiPriority w:val="99"/>
    <w:semiHidden/>
    <w:rsid w:val="00204D3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881c7e-bde8-497c-bcbe-18a05f14a85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6" ma:contentTypeDescription="Create a new document." ma:contentTypeScope="" ma:versionID="705a727032a5cdce80762bd19328e9af">
  <xsd:schema xmlns:xsd="http://www.w3.org/2001/XMLSchema" xmlns:xs="http://www.w3.org/2001/XMLSchema" xmlns:p="http://schemas.microsoft.com/office/2006/metadata/properties" xmlns:ns3="a555451d-518f-4a10-969e-f3a9a0f123ff" xmlns:ns4="a0881c7e-bde8-497c-bcbe-18a05f14a854" targetNamespace="http://schemas.microsoft.com/office/2006/metadata/properties" ma:root="true" ma:fieldsID="8c4fb2a10ddbcbcbb6713aff5e3c8cfa" ns3:_="" ns4:_="">
    <xsd:import namespace="a555451d-518f-4a10-969e-f3a9a0f123ff"/>
    <xsd:import namespace="a0881c7e-bde8-497c-bcbe-18a05f14a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07E15-32CD-439D-AD33-7A071AF69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D69E7-1E5B-4824-AD9A-9A9E4AC609F9}">
  <ds:schemaRefs>
    <ds:schemaRef ds:uri="http://schemas.microsoft.com/office/2006/metadata/properties"/>
    <ds:schemaRef ds:uri="http://schemas.microsoft.com/office/infopath/2007/PartnerControls"/>
    <ds:schemaRef ds:uri="a0881c7e-bde8-497c-bcbe-18a05f14a854"/>
  </ds:schemaRefs>
</ds:datastoreItem>
</file>

<file path=customXml/itemProps3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FB156F-4D52-4311-849A-2A8D41918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5451d-518f-4a10-969e-f3a9a0f123ff"/>
    <ds:schemaRef ds:uri="a0881c7e-bde8-497c-bcbe-18a05f14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4121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2023-07-24T19:06:00Z</dcterms:created>
  <dcterms:modified xsi:type="dcterms:W3CDTF">2024-01-08T20:00:00Z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0x010100C9AB131A33795349ACDBD6B8876A9E85</vt:lpwstr>
  </property>
</Properties>
</file>